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46" w:rsidRDefault="007A4746" w:rsidP="007A4746">
      <w:r>
        <w:t>Report Title: Global Market for Autonomous Quantum Computing Widgets (AQC-Widgets) 2025-2030</w:t>
      </w:r>
    </w:p>
    <w:p w:rsidR="007A4746" w:rsidRDefault="007A4746" w:rsidP="007A4746"/>
    <w:p w:rsidR="007A4746" w:rsidRDefault="007A4746" w:rsidP="007A4746">
      <w:r>
        <w:t>Published by: Nonsense Analytics Inc.</w:t>
      </w:r>
    </w:p>
    <w:p w:rsidR="007A4746" w:rsidRDefault="007A4746" w:rsidP="007A4746">
      <w:r>
        <w:t xml:space="preserve">Lead Analyst: Dr. </w:t>
      </w:r>
      <w:proofErr w:type="spellStart"/>
      <w:r>
        <w:t>Kakuu</w:t>
      </w:r>
      <w:proofErr w:type="spellEnd"/>
      <w:r>
        <w:t xml:space="preserve"> </w:t>
      </w:r>
      <w:proofErr w:type="spellStart"/>
      <w:r>
        <w:t>Detarame</w:t>
      </w:r>
      <w:proofErr w:type="spellEnd"/>
    </w:p>
    <w:p w:rsidR="007A4746" w:rsidRDefault="007A4746" w:rsidP="007A4746">
      <w:r>
        <w:t>Report ID: NA-AQC-2025-007</w:t>
      </w:r>
    </w:p>
    <w:p w:rsidR="009D6E16" w:rsidRDefault="007A4746" w:rsidP="007A4746">
      <w:r>
        <w:t>Publication Date: September 5, 2025</w:t>
      </w:r>
    </w:p>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r>
        <w:lastRenderedPageBreak/>
        <w:t>Table of Contents</w:t>
      </w:r>
    </w:p>
    <w:p w:rsidR="007A4746" w:rsidRDefault="007A4746" w:rsidP="007A4746">
      <w:r>
        <w:t>Executive Summary</w:t>
      </w:r>
    </w:p>
    <w:p w:rsidR="007A4746" w:rsidRDefault="007A4746" w:rsidP="007A4746">
      <w:r>
        <w:t>1.1. Report Scope and Methodology</w:t>
      </w:r>
    </w:p>
    <w:p w:rsidR="007A4746" w:rsidRDefault="007A4746" w:rsidP="007A4746">
      <w:r>
        <w:t>1.2. Key Findings: The AQC-Widget Revolution</w:t>
      </w:r>
    </w:p>
    <w:p w:rsidR="007A4746" w:rsidRDefault="007A4746" w:rsidP="007A4746">
      <w:r>
        <w:t xml:space="preserve">1.3. Market Snapshot: A 1.23 Trillion </w:t>
      </w:r>
      <w:proofErr w:type="spellStart"/>
      <w:r>
        <w:t>Fictitian</w:t>
      </w:r>
      <w:proofErr w:type="spellEnd"/>
      <w:r>
        <w:t xml:space="preserve"> Dollar Opportunity</w:t>
      </w:r>
    </w:p>
    <w:p w:rsidR="007A4746" w:rsidRDefault="007A4746" w:rsidP="007A4746">
      <w:r>
        <w:t>1.4. Strategic Recommendations</w:t>
      </w:r>
    </w:p>
    <w:p w:rsidR="007A4746" w:rsidRDefault="007A4746" w:rsidP="007A4746"/>
    <w:p w:rsidR="007A4746" w:rsidRDefault="007A4746" w:rsidP="007A4746">
      <w:r>
        <w:t>Introduction to the AQC-Widget Market</w:t>
      </w:r>
    </w:p>
    <w:p w:rsidR="007A4746" w:rsidRDefault="007A4746" w:rsidP="007A4746">
      <w:r>
        <w:t>2.1. Defining the Autonomous Quantum Computing Widget</w:t>
      </w:r>
    </w:p>
    <w:p w:rsidR="007A4746" w:rsidRDefault="007A4746" w:rsidP="007A4746">
      <w:r>
        <w:t>2.2. Historical Evolution from Classical Widgets</w:t>
      </w:r>
    </w:p>
    <w:p w:rsidR="007A4746" w:rsidRDefault="007A4746" w:rsidP="007A4746">
      <w:r>
        <w:t>2.3. The Value Chain of AQC-Widget Manufacturing</w:t>
      </w:r>
    </w:p>
    <w:p w:rsidR="007A4746" w:rsidRDefault="007A4746" w:rsidP="007A4746"/>
    <w:p w:rsidR="007A4746" w:rsidRDefault="007A4746" w:rsidP="007A4746">
      <w:r>
        <w:t>Market Dynamics</w:t>
      </w:r>
    </w:p>
    <w:p w:rsidR="007A4746" w:rsidRDefault="007A4746" w:rsidP="007A4746">
      <w:r>
        <w:t>3.1. Market Drivers (The "Singularity Catalyst" factor)</w:t>
      </w:r>
    </w:p>
    <w:p w:rsidR="007A4746" w:rsidRDefault="007A4746" w:rsidP="007A4746">
      <w:r>
        <w:t>3.2. Market Restraints (The "Quantum Spookiness" barrier)</w:t>
      </w:r>
    </w:p>
    <w:p w:rsidR="007A4746" w:rsidRDefault="007A4746" w:rsidP="007A4746">
      <w:r>
        <w:t xml:space="preserve">3.3. Opportunities (Untapped markets in the Republic of </w:t>
      </w:r>
      <w:proofErr w:type="spellStart"/>
      <w:r>
        <w:t>Fictitia</w:t>
      </w:r>
      <w:proofErr w:type="spellEnd"/>
      <w:r>
        <w:t>)</w:t>
      </w:r>
    </w:p>
    <w:p w:rsidR="007A4746" w:rsidRDefault="007A4746" w:rsidP="007A4746">
      <w:r>
        <w:t>3.4. Regulatory Landscape and Ethical Considerations</w:t>
      </w:r>
    </w:p>
    <w:p w:rsidR="007A4746" w:rsidRDefault="007A4746" w:rsidP="007A4746"/>
    <w:p w:rsidR="007A4746" w:rsidRDefault="007A4746" w:rsidP="007A4746">
      <w:r>
        <w:t>Market Segmentation Analysis</w:t>
      </w:r>
    </w:p>
    <w:p w:rsidR="007A4746" w:rsidRDefault="007A4746" w:rsidP="007A4746">
      <w:r>
        <w:t>4.1. By Widget Type (Alpha-class, Beta-class, Gamma-class)</w:t>
      </w:r>
    </w:p>
    <w:p w:rsidR="007A4746" w:rsidRDefault="007A4746" w:rsidP="007A4746">
      <w:r>
        <w:t>4.2. By End-User Industry (Aerospace, Sub-aquatic Basket Weaving, Gourmet Gastronomy)</w:t>
      </w:r>
    </w:p>
    <w:p w:rsidR="007A4746" w:rsidRDefault="007A4746" w:rsidP="007A4746">
      <w:r>
        <w:t xml:space="preserve">4.3. By Geographical Region (North </w:t>
      </w:r>
      <w:proofErr w:type="spellStart"/>
      <w:r>
        <w:t>Exemplia</w:t>
      </w:r>
      <w:proofErr w:type="spellEnd"/>
      <w:r>
        <w:t xml:space="preserve">, West </w:t>
      </w:r>
      <w:proofErr w:type="spellStart"/>
      <w:r>
        <w:t>Fictitia</w:t>
      </w:r>
      <w:proofErr w:type="spellEnd"/>
      <w:r>
        <w:t>, Pan-Asian Sample Zone)</w:t>
      </w:r>
    </w:p>
    <w:p w:rsidR="007A4746" w:rsidRDefault="007A4746" w:rsidP="007A4746"/>
    <w:p w:rsidR="007A4746" w:rsidRDefault="007A4746" w:rsidP="007A4746">
      <w:r>
        <w:t>Competitive Landscape</w:t>
      </w:r>
    </w:p>
    <w:p w:rsidR="007A4746" w:rsidRDefault="007A4746" w:rsidP="007A4746">
      <w:r>
        <w:t>5.1. Market Share Analysis: The Dominance of XYZ Corp</w:t>
      </w:r>
    </w:p>
    <w:p w:rsidR="007A4746" w:rsidRDefault="007A4746" w:rsidP="007A4746">
      <w:r>
        <w:t>5.2. Strategic Profiling of Key Players</w:t>
      </w:r>
    </w:p>
    <w:p w:rsidR="007A4746" w:rsidRDefault="007A4746" w:rsidP="007A4746">
      <w:r>
        <w:t>5.2.1. XYZ Corp (The Incumbent)</w:t>
      </w:r>
    </w:p>
    <w:p w:rsidR="007A4746" w:rsidRDefault="007A4746" w:rsidP="007A4746">
      <w:r>
        <w:t xml:space="preserve">5.2.2. </w:t>
      </w:r>
      <w:proofErr w:type="spellStart"/>
      <w:r>
        <w:t>SampleTech</w:t>
      </w:r>
      <w:proofErr w:type="spellEnd"/>
      <w:r>
        <w:t xml:space="preserve"> Ltd. (The Innovator)</w:t>
      </w:r>
    </w:p>
    <w:p w:rsidR="007A4746" w:rsidRDefault="007A4746" w:rsidP="007A4746">
      <w:r>
        <w:t>5.2.3. Generic Devices PLC (The Cost Leader)</w:t>
      </w:r>
    </w:p>
    <w:p w:rsidR="007A4746" w:rsidRDefault="007A4746" w:rsidP="007A4746">
      <w:r>
        <w:t>5.2.4. Placeholder Innovations (The New Entrant)</w:t>
      </w:r>
    </w:p>
    <w:p w:rsidR="007A4746" w:rsidRDefault="007A4746" w:rsidP="007A4746">
      <w:r>
        <w:t>5.3. Mergers &amp; Acquisitions Activity</w:t>
      </w:r>
    </w:p>
    <w:p w:rsidR="007A4746" w:rsidRDefault="007A4746" w:rsidP="007A4746"/>
    <w:p w:rsidR="007A4746" w:rsidRDefault="007A4746" w:rsidP="007A4746">
      <w:r>
        <w:t>Technological Trends</w:t>
      </w:r>
    </w:p>
    <w:p w:rsidR="007A4746" w:rsidRDefault="007A4746" w:rsidP="007A4746">
      <w:r>
        <w:t>6.1. Advances in Quantum Coherence</w:t>
      </w:r>
    </w:p>
    <w:p w:rsidR="007A4746" w:rsidRDefault="007A4746" w:rsidP="007A4746">
      <w:r>
        <w:t>6.2. The Role of AI in Autonomous Navigation</w:t>
      </w:r>
    </w:p>
    <w:p w:rsidR="007A4746" w:rsidRDefault="007A4746" w:rsidP="007A4746">
      <w:r>
        <w:t>6.3. Next-Generation Power Sources</w:t>
      </w:r>
    </w:p>
    <w:p w:rsidR="007A4746" w:rsidRDefault="007A4746" w:rsidP="007A4746"/>
    <w:p w:rsidR="007A4746" w:rsidRDefault="007A4746" w:rsidP="007A4746">
      <w:r>
        <w:t>Market Forecast (2025-2030)</w:t>
      </w:r>
    </w:p>
    <w:p w:rsidR="007A4746" w:rsidRDefault="007A4746" w:rsidP="007A4746">
      <w:r>
        <w:t>7.1. Global AQC-Widget Market Size and Forecast</w:t>
      </w:r>
    </w:p>
    <w:p w:rsidR="007A4746" w:rsidRDefault="007A4746" w:rsidP="007A4746">
      <w:r>
        <w:t xml:space="preserve">7.2. Regional Forecast: North </w:t>
      </w:r>
      <w:proofErr w:type="spellStart"/>
      <w:r>
        <w:t>Exemplia</w:t>
      </w:r>
      <w:proofErr w:type="spellEnd"/>
    </w:p>
    <w:p w:rsidR="007A4746" w:rsidRDefault="007A4746" w:rsidP="007A4746">
      <w:r>
        <w:t xml:space="preserve">7.3. Regional Forecast: West </w:t>
      </w:r>
      <w:proofErr w:type="spellStart"/>
      <w:r>
        <w:t>Fictitia</w:t>
      </w:r>
      <w:proofErr w:type="spellEnd"/>
    </w:p>
    <w:p w:rsidR="007A4746" w:rsidRDefault="007A4746" w:rsidP="007A4746">
      <w:r>
        <w:t>7.4. Regional Forecast: Pan-Asian Sample Zone</w:t>
      </w:r>
    </w:p>
    <w:p w:rsidR="007A4746" w:rsidRDefault="007A4746" w:rsidP="007A4746"/>
    <w:p w:rsidR="007A4746" w:rsidRDefault="007A4746" w:rsidP="007A4746">
      <w:r>
        <w:t>Appendix</w:t>
      </w:r>
    </w:p>
    <w:p w:rsidR="007A4746" w:rsidRDefault="007A4746" w:rsidP="007A4746">
      <w:r>
        <w:t>8.1. List of Acronyms</w:t>
      </w:r>
    </w:p>
    <w:p w:rsidR="007A4746" w:rsidRDefault="007A4746" w:rsidP="007A4746">
      <w:r>
        <w:t>8.2. Biographies of Key Analysts (ft. Dr. John Sample)</w:t>
      </w:r>
    </w:p>
    <w:p w:rsidR="007A4746" w:rsidRDefault="007A4746" w:rsidP="007A4746">
      <w:r>
        <w:t>8.3. Data Sources</w:t>
      </w:r>
    </w:p>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r>
        <w:lastRenderedPageBreak/>
        <w:t>1. Executive Summary</w:t>
      </w:r>
    </w:p>
    <w:p w:rsidR="007A4746" w:rsidRDefault="007A4746" w:rsidP="007A4746">
      <w:r>
        <w:t xml:space="preserve">This report provides a comprehensive analysis of the global market for Autonomous Quantum Computing Widgets (AQC-Widgets), a disruptive technology poised to redefine multiple industries. The market, valued at 450 Billion </w:t>
      </w:r>
      <w:proofErr w:type="spellStart"/>
      <w:r>
        <w:t>Fictitian</w:t>
      </w:r>
      <w:proofErr w:type="spellEnd"/>
      <w:r>
        <w:t xml:space="preserve"> Dollars in 2024, is projected to reach an unprecedented 1.23 Trillion </w:t>
      </w:r>
      <w:proofErr w:type="spellStart"/>
      <w:r>
        <w:t>Fictitian</w:t>
      </w:r>
      <w:proofErr w:type="spellEnd"/>
      <w:r>
        <w:t xml:space="preserve"> Dollars by 2030, exhibiting a Compound Annual Growth Rate (CAGR) of 18.2%. This growth is primarily driven by the "Singularity Catalyst" factor, as detailed in Chapter 3, which refers to the accelerating adoption of autonomous AI in complex data-processing tasks.</w:t>
      </w:r>
    </w:p>
    <w:p w:rsidR="007A4746" w:rsidRDefault="007A4746" w:rsidP="007A4746"/>
    <w:p w:rsidR="007A4746" w:rsidRDefault="007A4746" w:rsidP="007A4746">
      <w:r>
        <w:t xml:space="preserve">Our analysis, conducted by lead analyst Dr. </w:t>
      </w:r>
      <w:proofErr w:type="spellStart"/>
      <w:r>
        <w:t>Kakuu</w:t>
      </w:r>
      <w:proofErr w:type="spellEnd"/>
      <w:r>
        <w:t xml:space="preserve"> </w:t>
      </w:r>
      <w:proofErr w:type="spellStart"/>
      <w:r>
        <w:t>Detarame</w:t>
      </w:r>
      <w:proofErr w:type="spellEnd"/>
      <w:r>
        <w:t>, indicates that the Aerospace sector will remain the largest end-user, as detailed in Section 4.2, driven by the need for real-time navigational calculations in deep space exploration. However, the fastest-growing segment is projected to be Sub-aquatic Basket Weaving, with applications in optimizing underwater weaving patterns through quantum simulation.</w:t>
      </w:r>
    </w:p>
    <w:p w:rsidR="007A4746" w:rsidRDefault="007A4746" w:rsidP="007A4746"/>
    <w:p w:rsidR="007A4746" w:rsidRDefault="007A4746" w:rsidP="007A4746">
      <w:r>
        <w:t xml:space="preserve">The competitive landscape (Chapter 5) is currently dominated by XYZ Corp, which holds an estimated 45% market share. However, intense competition is expected from challenger </w:t>
      </w:r>
      <w:proofErr w:type="spellStart"/>
      <w:r>
        <w:t>SampleTech</w:t>
      </w:r>
      <w:proofErr w:type="spellEnd"/>
      <w:r>
        <w:t xml:space="preserve"> Ltd., whose recent breakthroughs in quantum coherence (Chapter 6) threaten to disrupt the market.</w:t>
      </w:r>
    </w:p>
    <w:p w:rsidR="007A4746" w:rsidRDefault="007A4746" w:rsidP="007A4746"/>
    <w:p w:rsidR="007A4746" w:rsidRDefault="007A4746" w:rsidP="007A4746">
      <w:r>
        <w:t xml:space="preserve">Key challenges for market participants include navigating the complex regulatory environment in the Republic of </w:t>
      </w:r>
      <w:proofErr w:type="spellStart"/>
      <w:r>
        <w:t>Fictitia</w:t>
      </w:r>
      <w:proofErr w:type="spellEnd"/>
      <w:r>
        <w:t xml:space="preserve"> and overcoming the "Quantum Spookiness" </w:t>
      </w:r>
      <w:proofErr w:type="spellStart"/>
      <w:r>
        <w:t>barrier</w:t>
      </w:r>
      <w:proofErr w:type="gramStart"/>
      <w:r>
        <w:t>?a</w:t>
      </w:r>
      <w:proofErr w:type="spellEnd"/>
      <w:proofErr w:type="gramEnd"/>
      <w:r>
        <w:t xml:space="preserve"> term for public mistrust in quantum technologies. This report recommends a three-pronged strategy for new entrants: focus on niche applications, forge strategic alliances, and invest heavily in public education campaigns.</w:t>
      </w:r>
    </w:p>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r>
        <w:lastRenderedPageBreak/>
        <w:t>5. Competitive Landscape</w:t>
      </w:r>
    </w:p>
    <w:p w:rsidR="007A4746" w:rsidRDefault="007A4746" w:rsidP="007A4746">
      <w:r>
        <w:t>5.1. Market Share Analysis: The Dominance of XYZ Corp</w:t>
      </w:r>
    </w:p>
    <w:p w:rsidR="007A4746" w:rsidRDefault="007A4746" w:rsidP="007A4746">
      <w:r>
        <w:t xml:space="preserve">The global AQC-Widget market is a highly concentrated ecosystem. As of Q2 2025, our analysis indicates that three major players account for over 75% of the total market revenue. XYZ Corp, headquartered in the Principality of </w:t>
      </w:r>
      <w:proofErr w:type="spellStart"/>
      <w:r>
        <w:t>Exemplia</w:t>
      </w:r>
      <w:proofErr w:type="spellEnd"/>
      <w:r>
        <w:t>, stands as the undisputed market leader with an approximate share of 45%. Their long-standing contracts with major aerospace firms and their extensive patent portfolio on Alpha-class widgets form a significant barrier to entry for smaller players.</w:t>
      </w:r>
    </w:p>
    <w:p w:rsidR="007A4746" w:rsidRDefault="007A4746" w:rsidP="007A4746"/>
    <w:p w:rsidR="007A4746" w:rsidRDefault="007A4746" w:rsidP="007A4746">
      <w:r>
        <w:t xml:space="preserve">Following XYZ Corp are </w:t>
      </w:r>
      <w:proofErr w:type="spellStart"/>
      <w:r>
        <w:t>SampleTech</w:t>
      </w:r>
      <w:proofErr w:type="spellEnd"/>
      <w:r>
        <w:t xml:space="preserve"> Ltd. (20%) and Generic Devices PLC (12%). </w:t>
      </w:r>
      <w:proofErr w:type="spellStart"/>
      <w:r>
        <w:t>SampleTech</w:t>
      </w:r>
      <w:proofErr w:type="spellEnd"/>
      <w:r>
        <w:t xml:space="preserve"> has shown remarkable growth over the past two fiscal years, primarily by focusing on the highly specialized Gourmet Gastronomy sector. Their Beta-class widgets, which utilize AI to create novel flavor profiles at a quantum level, have been praised by world-renowned chefs. Generic Devices PLC competes primarily on price, offering lower-cost Gamma-class widgets that appeal to academic and research institutions with limited budgets. The remaining 23% of the market is fragmented among numerous small start-ups and niche players, including the promising new entrant, Placeholder Innovations, founded by the esteemed Dr. Jane Doe.</w:t>
      </w:r>
    </w:p>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r>
        <w:lastRenderedPageBreak/>
        <w:t>6. Technological Trends</w:t>
      </w:r>
    </w:p>
    <w:p w:rsidR="007A4746" w:rsidRDefault="007A4746" w:rsidP="007A4746">
      <w:r>
        <w:t>The AQC-Widget market is characterized by rapid technological innovation. Our research identifies three key trends that will shape the competitive landscape in the coming years.</w:t>
      </w:r>
    </w:p>
    <w:p w:rsidR="007A4746" w:rsidRDefault="007A4746" w:rsidP="007A4746"/>
    <w:p w:rsidR="007A4746" w:rsidRDefault="007A4746" w:rsidP="007A4746">
      <w:r>
        <w:t>6.1. Advances in Quantum Coherence</w:t>
      </w:r>
    </w:p>
    <w:p w:rsidR="007A4746" w:rsidRDefault="007A4746" w:rsidP="007A4746">
      <w:r>
        <w:t>The single most critical factor for AQC-Widget performance is the duration of quantum coherence. Recent breakthroughs, most notably the "</w:t>
      </w:r>
      <w:proofErr w:type="spellStart"/>
      <w:r>
        <w:t>Deka</w:t>
      </w:r>
      <w:proofErr w:type="spellEnd"/>
      <w:r>
        <w:t xml:space="preserve">-Hertz Coherence Stabilizer" technology pioneered by </w:t>
      </w:r>
      <w:proofErr w:type="spellStart"/>
      <w:r>
        <w:t>SampleTech</w:t>
      </w:r>
      <w:proofErr w:type="spellEnd"/>
      <w:r>
        <w:t xml:space="preserve"> Ltd., have extended the operational uptime of Beta-class widgets by over 200%. This allows for more complex calculations and opens up new applications in fields requiring prolonged autonomous operation, such as gourmet gastronomy where widgets must simulate flavor profiles for extended periods. We anticipate that market leader XYZ Corp will seek to acquire or replicate this technology within the next 18 months to protect its market position.</w:t>
      </w:r>
    </w:p>
    <w:p w:rsidR="007A4746" w:rsidRDefault="007A4746" w:rsidP="007A4746"/>
    <w:p w:rsidR="007A4746" w:rsidRDefault="007A4746" w:rsidP="007A4746">
      <w:r>
        <w:t>6.2. The Role of AI in Autonomous Navigation</w:t>
      </w:r>
    </w:p>
    <w:p w:rsidR="007A4746" w:rsidRDefault="007A4746" w:rsidP="007A4746">
      <w:r>
        <w:t xml:space="preserve">The "Autonomous" aspect of AQC-Widgets relies heavily on sophisticated AI navigation algorithms. The current industry standard is the </w:t>
      </w:r>
      <w:proofErr w:type="spellStart"/>
      <w:r>
        <w:t>Detarame</w:t>
      </w:r>
      <w:proofErr w:type="spellEnd"/>
      <w:r>
        <w:t xml:space="preserve"> Predictive Pathfinding (DPP) algorithm, which enables widgets to navigate highly complex, dynamic environments. This technology has been particularly crucial for the adoption of AQC-Widgets in the Sub-aquatic Basket Weaving industry, allowing widgets to maneuver between intricate reed patterns without collision. Future developments are expected to focus on swarm intelligence, allowing multiple widgets to collaborate on a single, complex task.</w:t>
      </w:r>
    </w:p>
    <w:p w:rsidR="007A4746" w:rsidRDefault="007A4746" w:rsidP="007A4746"/>
    <w:p w:rsidR="007A4746" w:rsidRDefault="007A4746" w:rsidP="007A4746">
      <w:r>
        <w:t>6.3. Next-Generation Power Sources</w:t>
      </w:r>
    </w:p>
    <w:p w:rsidR="007A4746" w:rsidRDefault="007A4746" w:rsidP="007A4746">
      <w:r>
        <w:t xml:space="preserve">As AQC-Widgets become more powerful, their energy consumption has become a significant concern. The industry is actively moving away from traditional lithium-ion batteries towards next-generation power sources. The most promising of these are Micro-Fusion Cells (MFCs), currently under development at the </w:t>
      </w:r>
      <w:proofErr w:type="spellStart"/>
      <w:r>
        <w:t>Fictitia</w:t>
      </w:r>
      <w:proofErr w:type="spellEnd"/>
      <w:r>
        <w:t xml:space="preserve"> Institute for Advanced Energetics. While still in the experimental phase, MFCs promise a near-unlimited power supply. Generic Devices PLC is reportedly investing heavily in this research, aiming to leverage this technology to further reduce the long-term operational costs of their Gamma-class widgets.</w:t>
      </w:r>
    </w:p>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r>
        <w:lastRenderedPageBreak/>
        <w:t>7. Market Forecast (2025-2030)</w:t>
      </w:r>
    </w:p>
    <w:p w:rsidR="007A4746" w:rsidRDefault="007A4746" w:rsidP="007A4746">
      <w:r>
        <w:t>7.1. Global AQC-Widget Market Size and Forecast</w:t>
      </w:r>
    </w:p>
    <w:p w:rsidR="007A4746" w:rsidRDefault="007A4746" w:rsidP="007A4746">
      <w:r>
        <w:t xml:space="preserve">As stated in the Executive Summary, the global AQC-Widget market is poised for explosive growth. We forecast the market to expand from its 2025 valuation of 532 Billion </w:t>
      </w:r>
      <w:proofErr w:type="spellStart"/>
      <w:r>
        <w:t>Fictitian</w:t>
      </w:r>
      <w:proofErr w:type="spellEnd"/>
      <w:r>
        <w:t xml:space="preserve"> Dollars to 1.23 Trillion </w:t>
      </w:r>
      <w:proofErr w:type="spellStart"/>
      <w:r>
        <w:t>Fictitian</w:t>
      </w:r>
      <w:proofErr w:type="spellEnd"/>
      <w:r>
        <w:t xml:space="preserve"> Dollars by the end of 2030, driven by the factors analyzed in Chapters 3 and 6. The overall CAGR for the forecast period is projected to be 18.2%.</w:t>
      </w:r>
    </w:p>
    <w:p w:rsidR="007A4746" w:rsidRDefault="007A4746" w:rsidP="007A4746"/>
    <w:p w:rsidR="007A4746" w:rsidRDefault="007A4746" w:rsidP="007A4746">
      <w:r>
        <w:t>The table below summarizes the market forecast by key geographical region.</w:t>
      </w:r>
    </w:p>
    <w:p w:rsidR="007A4746" w:rsidRDefault="007A4746" w:rsidP="007A4746"/>
    <w:p w:rsidR="007A4746" w:rsidRDefault="007A4746" w:rsidP="007A4746">
      <w:r>
        <w:t xml:space="preserve">Table 7.1: AQC-Widget Market Forecast by Region (in Billion </w:t>
      </w:r>
      <w:proofErr w:type="spellStart"/>
      <w:r>
        <w:t>Fictitian</w:t>
      </w:r>
      <w:proofErr w:type="spellEnd"/>
      <w:r>
        <w:t xml:space="preserve"> Dollars)</w:t>
      </w:r>
    </w:p>
    <w:tbl>
      <w:tblPr>
        <w:tblStyle w:val="a3"/>
        <w:tblW w:w="0" w:type="auto"/>
        <w:tblLook w:val="04A0" w:firstRow="1" w:lastRow="0" w:firstColumn="1" w:lastColumn="0" w:noHBand="0" w:noVBand="1"/>
      </w:tblPr>
      <w:tblGrid>
        <w:gridCol w:w="2614"/>
        <w:gridCol w:w="2614"/>
        <w:gridCol w:w="2614"/>
        <w:gridCol w:w="2614"/>
      </w:tblGrid>
      <w:tr w:rsidR="007A4746" w:rsidTr="007A4746">
        <w:tc>
          <w:tcPr>
            <w:tcW w:w="2614" w:type="dxa"/>
          </w:tcPr>
          <w:p w:rsidR="007A4746" w:rsidRDefault="007A4746" w:rsidP="007A4746">
            <w:pPr>
              <w:rPr>
                <w:rFonts w:hint="eastAsia"/>
              </w:rPr>
            </w:pPr>
            <w:r w:rsidRPr="007A4746">
              <w:t>Region</w:t>
            </w:r>
          </w:p>
        </w:tc>
        <w:tc>
          <w:tcPr>
            <w:tcW w:w="2614" w:type="dxa"/>
          </w:tcPr>
          <w:p w:rsidR="007A4746" w:rsidRDefault="007A4746" w:rsidP="007A4746">
            <w:pPr>
              <w:rPr>
                <w:rFonts w:hint="eastAsia"/>
              </w:rPr>
            </w:pPr>
            <w:r w:rsidRPr="007A4746">
              <w:t>2025 Market Size</w:t>
            </w:r>
          </w:p>
        </w:tc>
        <w:tc>
          <w:tcPr>
            <w:tcW w:w="2614" w:type="dxa"/>
          </w:tcPr>
          <w:p w:rsidR="007A4746" w:rsidRDefault="007A4746" w:rsidP="007A4746">
            <w:pPr>
              <w:rPr>
                <w:rFonts w:hint="eastAsia"/>
              </w:rPr>
            </w:pPr>
            <w:r w:rsidRPr="007A4746">
              <w:t>2030 Projected Size</w:t>
            </w:r>
          </w:p>
        </w:tc>
        <w:tc>
          <w:tcPr>
            <w:tcW w:w="2614" w:type="dxa"/>
          </w:tcPr>
          <w:p w:rsidR="007A4746" w:rsidRDefault="007A4746" w:rsidP="007A4746">
            <w:pPr>
              <w:rPr>
                <w:rFonts w:hint="eastAsia"/>
              </w:rPr>
            </w:pPr>
            <w:r w:rsidRPr="007A4746">
              <w:t>CAGR (2025-2030)</w:t>
            </w:r>
          </w:p>
        </w:tc>
      </w:tr>
      <w:tr w:rsidR="007A4746" w:rsidTr="007A4746">
        <w:tc>
          <w:tcPr>
            <w:tcW w:w="2614" w:type="dxa"/>
          </w:tcPr>
          <w:p w:rsidR="007A4746" w:rsidRDefault="007A4746" w:rsidP="007A4746">
            <w:pPr>
              <w:rPr>
                <w:rFonts w:hint="eastAsia"/>
              </w:rPr>
            </w:pPr>
            <w:r w:rsidRPr="007A4746">
              <w:t xml:space="preserve">North </w:t>
            </w:r>
            <w:proofErr w:type="spellStart"/>
            <w:r w:rsidRPr="007A4746">
              <w:t>Exemplia</w:t>
            </w:r>
            <w:proofErr w:type="spellEnd"/>
          </w:p>
        </w:tc>
        <w:tc>
          <w:tcPr>
            <w:tcW w:w="2614" w:type="dxa"/>
          </w:tcPr>
          <w:p w:rsidR="007A4746" w:rsidRPr="00C80105" w:rsidRDefault="007A4746" w:rsidP="007A4746">
            <w:r w:rsidRPr="00C80105">
              <w:t>250.0</w:t>
            </w:r>
          </w:p>
        </w:tc>
        <w:tc>
          <w:tcPr>
            <w:tcW w:w="2614" w:type="dxa"/>
          </w:tcPr>
          <w:p w:rsidR="007A4746" w:rsidRPr="00ED5A3F" w:rsidRDefault="007A4746" w:rsidP="007A4746">
            <w:r w:rsidRPr="00ED5A3F">
              <w:t>510.0</w:t>
            </w:r>
          </w:p>
        </w:tc>
        <w:tc>
          <w:tcPr>
            <w:tcW w:w="2614" w:type="dxa"/>
          </w:tcPr>
          <w:p w:rsidR="007A4746" w:rsidRPr="003C2272" w:rsidRDefault="007A4746" w:rsidP="007A4746">
            <w:r w:rsidRPr="003C2272">
              <w:t>15.3%</w:t>
            </w:r>
          </w:p>
        </w:tc>
      </w:tr>
      <w:tr w:rsidR="007A4746" w:rsidTr="007A4746">
        <w:tc>
          <w:tcPr>
            <w:tcW w:w="2614" w:type="dxa"/>
          </w:tcPr>
          <w:p w:rsidR="007A4746" w:rsidRDefault="007A4746" w:rsidP="007A4746">
            <w:pPr>
              <w:rPr>
                <w:rFonts w:hint="eastAsia"/>
              </w:rPr>
            </w:pPr>
            <w:r w:rsidRPr="007A4746">
              <w:t xml:space="preserve">West </w:t>
            </w:r>
            <w:proofErr w:type="spellStart"/>
            <w:r w:rsidRPr="007A4746">
              <w:t>Fictitia</w:t>
            </w:r>
            <w:proofErr w:type="spellEnd"/>
          </w:p>
        </w:tc>
        <w:tc>
          <w:tcPr>
            <w:tcW w:w="2614" w:type="dxa"/>
          </w:tcPr>
          <w:p w:rsidR="007A4746" w:rsidRPr="00C80105" w:rsidRDefault="007A4746" w:rsidP="007A4746">
            <w:r w:rsidRPr="00C80105">
              <w:t>155.0</w:t>
            </w:r>
          </w:p>
        </w:tc>
        <w:tc>
          <w:tcPr>
            <w:tcW w:w="2614" w:type="dxa"/>
          </w:tcPr>
          <w:p w:rsidR="007A4746" w:rsidRPr="00ED5A3F" w:rsidRDefault="007A4746" w:rsidP="007A4746">
            <w:r w:rsidRPr="00ED5A3F">
              <w:t>340.0</w:t>
            </w:r>
          </w:p>
        </w:tc>
        <w:tc>
          <w:tcPr>
            <w:tcW w:w="2614" w:type="dxa"/>
          </w:tcPr>
          <w:p w:rsidR="007A4746" w:rsidRPr="003C2272" w:rsidRDefault="007A4746" w:rsidP="007A4746">
            <w:r w:rsidRPr="003C2272">
              <w:t>17.0%</w:t>
            </w:r>
          </w:p>
        </w:tc>
      </w:tr>
      <w:tr w:rsidR="007A4746" w:rsidTr="007A4746">
        <w:tc>
          <w:tcPr>
            <w:tcW w:w="2614" w:type="dxa"/>
          </w:tcPr>
          <w:p w:rsidR="007A4746" w:rsidRDefault="007A4746" w:rsidP="007A4746">
            <w:pPr>
              <w:rPr>
                <w:rFonts w:hint="eastAsia"/>
              </w:rPr>
            </w:pPr>
            <w:r w:rsidRPr="007A4746">
              <w:t>Pan-Asian Sample Zone</w:t>
            </w:r>
          </w:p>
        </w:tc>
        <w:tc>
          <w:tcPr>
            <w:tcW w:w="2614" w:type="dxa"/>
          </w:tcPr>
          <w:p w:rsidR="007A4746" w:rsidRPr="00C80105" w:rsidRDefault="007A4746" w:rsidP="007A4746">
            <w:r w:rsidRPr="00C80105">
              <w:t>85.0</w:t>
            </w:r>
          </w:p>
        </w:tc>
        <w:tc>
          <w:tcPr>
            <w:tcW w:w="2614" w:type="dxa"/>
          </w:tcPr>
          <w:p w:rsidR="007A4746" w:rsidRPr="00ED5A3F" w:rsidRDefault="007A4746" w:rsidP="007A4746">
            <w:r w:rsidRPr="00ED5A3F">
              <w:t>280.0</w:t>
            </w:r>
          </w:p>
        </w:tc>
        <w:tc>
          <w:tcPr>
            <w:tcW w:w="2614" w:type="dxa"/>
          </w:tcPr>
          <w:p w:rsidR="007A4746" w:rsidRPr="003C2272" w:rsidRDefault="007A4746" w:rsidP="007A4746">
            <w:r w:rsidRPr="003C2272">
              <w:t>26.9%</w:t>
            </w:r>
          </w:p>
        </w:tc>
      </w:tr>
      <w:tr w:rsidR="007A4746" w:rsidTr="007A4746">
        <w:tc>
          <w:tcPr>
            <w:tcW w:w="2614" w:type="dxa"/>
          </w:tcPr>
          <w:p w:rsidR="007A4746" w:rsidRDefault="007A4746" w:rsidP="007A4746">
            <w:pPr>
              <w:rPr>
                <w:rFonts w:hint="eastAsia"/>
              </w:rPr>
            </w:pPr>
            <w:r w:rsidRPr="007A4746">
              <w:t>Rest of World (ROW)</w:t>
            </w:r>
          </w:p>
        </w:tc>
        <w:tc>
          <w:tcPr>
            <w:tcW w:w="2614" w:type="dxa"/>
          </w:tcPr>
          <w:p w:rsidR="007A4746" w:rsidRPr="00C80105" w:rsidRDefault="007A4746" w:rsidP="007A4746">
            <w:r w:rsidRPr="00C80105">
              <w:t>42.0</w:t>
            </w:r>
          </w:p>
        </w:tc>
        <w:tc>
          <w:tcPr>
            <w:tcW w:w="2614" w:type="dxa"/>
          </w:tcPr>
          <w:p w:rsidR="007A4746" w:rsidRPr="00ED5A3F" w:rsidRDefault="007A4746" w:rsidP="007A4746">
            <w:r w:rsidRPr="00ED5A3F">
              <w:t>100.0</w:t>
            </w:r>
          </w:p>
        </w:tc>
        <w:tc>
          <w:tcPr>
            <w:tcW w:w="2614" w:type="dxa"/>
          </w:tcPr>
          <w:p w:rsidR="007A4746" w:rsidRPr="003C2272" w:rsidRDefault="007A4746" w:rsidP="007A4746">
            <w:r w:rsidRPr="003C2272">
              <w:t>19.0%</w:t>
            </w:r>
          </w:p>
        </w:tc>
      </w:tr>
      <w:tr w:rsidR="007A4746" w:rsidTr="007A4746">
        <w:tc>
          <w:tcPr>
            <w:tcW w:w="2614" w:type="dxa"/>
          </w:tcPr>
          <w:p w:rsidR="007A4746" w:rsidRDefault="007A4746" w:rsidP="007A4746">
            <w:pPr>
              <w:rPr>
                <w:rFonts w:hint="eastAsia"/>
              </w:rPr>
            </w:pPr>
            <w:r w:rsidRPr="007A4746">
              <w:t>Total</w:t>
            </w:r>
          </w:p>
        </w:tc>
        <w:tc>
          <w:tcPr>
            <w:tcW w:w="2614" w:type="dxa"/>
          </w:tcPr>
          <w:p w:rsidR="007A4746" w:rsidRDefault="007A4746" w:rsidP="007A4746">
            <w:r w:rsidRPr="00C80105">
              <w:t>532.0</w:t>
            </w:r>
          </w:p>
        </w:tc>
        <w:tc>
          <w:tcPr>
            <w:tcW w:w="2614" w:type="dxa"/>
          </w:tcPr>
          <w:p w:rsidR="007A4746" w:rsidRDefault="007A4746" w:rsidP="007A4746">
            <w:r w:rsidRPr="00ED5A3F">
              <w:t>1,230.0</w:t>
            </w:r>
          </w:p>
        </w:tc>
        <w:tc>
          <w:tcPr>
            <w:tcW w:w="2614" w:type="dxa"/>
          </w:tcPr>
          <w:p w:rsidR="007A4746" w:rsidRDefault="007A4746" w:rsidP="007A4746">
            <w:r w:rsidRPr="003C2272">
              <w:t>18.2%</w:t>
            </w:r>
          </w:p>
        </w:tc>
      </w:tr>
    </w:tbl>
    <w:p w:rsidR="007A4746" w:rsidRDefault="007A4746" w:rsidP="007A4746"/>
    <w:p w:rsidR="007A4746" w:rsidRDefault="007A4746" w:rsidP="007A4746">
      <w:r>
        <w:t xml:space="preserve">7.2. Regional Forecast: North </w:t>
      </w:r>
      <w:proofErr w:type="spellStart"/>
      <w:r>
        <w:t>Exemplia</w:t>
      </w:r>
      <w:proofErr w:type="spellEnd"/>
    </w:p>
    <w:p w:rsidR="007A4746" w:rsidRDefault="007A4746" w:rsidP="007A4746">
      <w:r>
        <w:t xml:space="preserve">North </w:t>
      </w:r>
      <w:proofErr w:type="spellStart"/>
      <w:r>
        <w:t>Exemplia</w:t>
      </w:r>
      <w:proofErr w:type="spellEnd"/>
      <w:r>
        <w:t xml:space="preserve"> will remain the largest single market, though its growth rate will be slightly below the global average. The market is mature, dominated by long-term, high-value contracts in the aerospace sector, primarily held by XYZ Corp. Future growth will depend on the upgrade cycle of existing widget fleets.</w:t>
      </w:r>
    </w:p>
    <w:p w:rsidR="007A4746" w:rsidRDefault="007A4746" w:rsidP="007A4746"/>
    <w:p w:rsidR="007A4746" w:rsidRDefault="007A4746" w:rsidP="007A4746">
      <w:r>
        <w:t xml:space="preserve">7.3. Regional Forecast: West </w:t>
      </w:r>
      <w:proofErr w:type="spellStart"/>
      <w:r>
        <w:t>Fictitia</w:t>
      </w:r>
      <w:proofErr w:type="spellEnd"/>
    </w:p>
    <w:p w:rsidR="007A4746" w:rsidRDefault="007A4746" w:rsidP="007A4746">
      <w:r>
        <w:t xml:space="preserve">West </w:t>
      </w:r>
      <w:proofErr w:type="spellStart"/>
      <w:r>
        <w:t>Fictitia</w:t>
      </w:r>
      <w:proofErr w:type="spellEnd"/>
      <w:r>
        <w:t xml:space="preserve"> is a stable growth market, driven by strong government incentives and a robust R&amp;D ecosystem. The presence of both </w:t>
      </w:r>
      <w:proofErr w:type="spellStart"/>
      <w:r>
        <w:t>SampleTech</w:t>
      </w:r>
      <w:proofErr w:type="spellEnd"/>
      <w:r>
        <w:t xml:space="preserve"> Ltd. and Generic Devices PLC fosters a highly competitive environment, particularly in the academic and industrial research sectors.</w:t>
      </w:r>
    </w:p>
    <w:p w:rsidR="007A4746" w:rsidRDefault="007A4746" w:rsidP="007A4746"/>
    <w:p w:rsidR="007A4746" w:rsidRDefault="007A4746" w:rsidP="007A4746">
      <w:r>
        <w:t>7.4. Regional Forecast: Pan-Asian Sample Zone</w:t>
      </w:r>
    </w:p>
    <w:p w:rsidR="007A4746" w:rsidRDefault="007A4746" w:rsidP="007A4746">
      <w:r>
        <w:t>The Pan-Asian Sample Zone is projected to be the fastest-growing region, with an impressive CAGR of 26.9%. This explosive growth is attributed to massive government investment in new-age industries, particularly the build-out of large-scale infrastructure for Sub-aquatic Basket Weaving. We expect significant market entry opportunities in this region over the forecast period.</w:t>
      </w:r>
    </w:p>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p w:rsidR="007A4746" w:rsidRDefault="007A4746" w:rsidP="007A4746">
      <w:r>
        <w:lastRenderedPageBreak/>
        <w:t>8. Appendix</w:t>
      </w:r>
    </w:p>
    <w:p w:rsidR="007A4746" w:rsidRDefault="007A4746" w:rsidP="007A4746">
      <w:r>
        <w:t>8.1. List of Acronyms</w:t>
      </w:r>
    </w:p>
    <w:p w:rsidR="007A4746" w:rsidRDefault="007A4746" w:rsidP="007A4746">
      <w:r>
        <w:t>AQC: Autonomous Quantum Computing</w:t>
      </w:r>
    </w:p>
    <w:p w:rsidR="007A4746" w:rsidRDefault="007A4746" w:rsidP="007A4746"/>
    <w:p w:rsidR="007A4746" w:rsidRDefault="007A4746" w:rsidP="007A4746">
      <w:r>
        <w:t>CAGR: Compound Annual Growth Rate</w:t>
      </w:r>
    </w:p>
    <w:p w:rsidR="007A4746" w:rsidRDefault="007A4746" w:rsidP="007A4746"/>
    <w:p w:rsidR="007A4746" w:rsidRDefault="007A4746" w:rsidP="007A4746">
      <w:r>
        <w:t xml:space="preserve">DPP: </w:t>
      </w:r>
      <w:proofErr w:type="spellStart"/>
      <w:r>
        <w:t>Detarame</w:t>
      </w:r>
      <w:proofErr w:type="spellEnd"/>
      <w:r>
        <w:t xml:space="preserve"> Predictive Pathfinding</w:t>
      </w:r>
    </w:p>
    <w:p w:rsidR="007A4746" w:rsidRDefault="007A4746" w:rsidP="007A4746"/>
    <w:p w:rsidR="007A4746" w:rsidRDefault="007A4746" w:rsidP="007A4746">
      <w:r>
        <w:t>MFC: Micro-Fusion Cell</w:t>
      </w:r>
    </w:p>
    <w:p w:rsidR="007A4746" w:rsidRDefault="007A4746" w:rsidP="007A4746"/>
    <w:p w:rsidR="007A4746" w:rsidRDefault="007A4746" w:rsidP="007A4746">
      <w:r>
        <w:t>PLC: Public Limited Company</w:t>
      </w:r>
    </w:p>
    <w:p w:rsidR="007A4746" w:rsidRDefault="007A4746" w:rsidP="007A4746"/>
    <w:p w:rsidR="007A4746" w:rsidRDefault="007A4746" w:rsidP="007A4746">
      <w:r>
        <w:t>ROW: Rest of World</w:t>
      </w:r>
    </w:p>
    <w:p w:rsidR="007A4746" w:rsidRDefault="007A4746" w:rsidP="007A4746"/>
    <w:p w:rsidR="007A4746" w:rsidRDefault="007A4746" w:rsidP="007A4746">
      <w:r>
        <w:t>8.2. Biographies of Contributing Analysts</w:t>
      </w:r>
    </w:p>
    <w:p w:rsidR="007A4746" w:rsidRDefault="007A4746" w:rsidP="007A4746">
      <w:r>
        <w:t>Professor Alex Placeholder</w:t>
      </w:r>
    </w:p>
    <w:p w:rsidR="007A4746" w:rsidRDefault="007A4746" w:rsidP="007A4746">
      <w:r>
        <w:t xml:space="preserve">Professor Placeholder is the Chair of Applied Gastronomy at the Royal University of </w:t>
      </w:r>
      <w:proofErr w:type="spellStart"/>
      <w:r>
        <w:t>Fictitia</w:t>
      </w:r>
      <w:proofErr w:type="spellEnd"/>
      <w:r>
        <w:t>. He is a leading expert on the application of quantum mechanics in culinary arts and the author of the seminal textbook, "Quantum Cuisine: A New Paradigm." He provided invaluable contributions to the analysis of the Gourmet Gastronomy end-user segment in Chapter 4.</w:t>
      </w:r>
    </w:p>
    <w:p w:rsidR="007A4746" w:rsidRDefault="007A4746" w:rsidP="007A4746"/>
    <w:p w:rsidR="007A4746" w:rsidRDefault="007A4746" w:rsidP="007A4746">
      <w:r>
        <w:t>Dr. Lorem Ipsum</w:t>
      </w:r>
    </w:p>
    <w:p w:rsidR="007A4746" w:rsidRDefault="007A4746" w:rsidP="007A4746">
      <w:r>
        <w:t>Dr. Ipsum is a senior researcher at the Pan-Asian Sample Institute for Aquatic Engineering. Her primary research focuses on the automation of complex underwater tasks. Her groundbreaking paper, "The Kinematics of Underwater Reed Manipulation," was instrumental in providing data for the Sub-aquatic Basket Weaving market forecast in Chapter 7.</w:t>
      </w:r>
    </w:p>
    <w:p w:rsidR="007A4746" w:rsidRDefault="007A4746" w:rsidP="007A4746"/>
    <w:p w:rsidR="00050225" w:rsidRDefault="00050225" w:rsidP="00050225">
      <w:r>
        <w:t>8.3. Data Sources</w:t>
      </w:r>
    </w:p>
    <w:p w:rsidR="00050225" w:rsidRDefault="00050225" w:rsidP="00050225">
      <w:r>
        <w:t>The findings in this report are based on a combination of primary and secondary research, including but not limited to the following sources:</w:t>
      </w:r>
    </w:p>
    <w:p w:rsidR="00050225" w:rsidRDefault="00050225" w:rsidP="00050225"/>
    <w:p w:rsidR="00050225" w:rsidRDefault="00050225" w:rsidP="00050225">
      <w:r>
        <w:t>"The Annual Report on Fictional Technologies (AFTR) 2024," published by the Global Imaginary Technology Organization (GITO).</w:t>
      </w:r>
    </w:p>
    <w:p w:rsidR="00050225" w:rsidRDefault="00050225" w:rsidP="00050225"/>
    <w:p w:rsidR="00050225" w:rsidRDefault="00050225" w:rsidP="00050225">
      <w:r>
        <w:t>"Widget Watcher Quarterly Journal," Issues Q1-Q4 2024, published by Placeholder Press.</w:t>
      </w:r>
    </w:p>
    <w:p w:rsidR="00050225" w:rsidRDefault="00050225" w:rsidP="00050225"/>
    <w:p w:rsidR="00050225" w:rsidRDefault="00050225" w:rsidP="00050225">
      <w:r>
        <w:t xml:space="preserve">Trade statistics from the </w:t>
      </w:r>
      <w:proofErr w:type="spellStart"/>
      <w:r>
        <w:t>Exemplia</w:t>
      </w:r>
      <w:proofErr w:type="spellEnd"/>
      <w:r>
        <w:t xml:space="preserve"> Ministry of Commerce and the </w:t>
      </w:r>
      <w:proofErr w:type="spellStart"/>
      <w:r>
        <w:t>Fictitian</w:t>
      </w:r>
      <w:proofErr w:type="spellEnd"/>
      <w:r>
        <w:t xml:space="preserve"> Bureau of Quantum Statistics.</w:t>
      </w:r>
    </w:p>
    <w:p w:rsidR="00050225" w:rsidRDefault="00050225" w:rsidP="00050225"/>
    <w:p w:rsidR="00050225" w:rsidRDefault="00050225" w:rsidP="00050225">
      <w:r>
        <w:t>Confidential, in-depth interviews conducted by A.B.C. Consulting Group in Q1 2025 with unnamed senior executives and engineers from leading market players.</w:t>
      </w:r>
    </w:p>
    <w:p w:rsidR="00050225" w:rsidRDefault="00050225" w:rsidP="00050225"/>
    <w:p w:rsidR="007A4746" w:rsidRPr="007A4746" w:rsidRDefault="00050225" w:rsidP="00050225">
      <w:pPr>
        <w:rPr>
          <w:rFonts w:hint="eastAsia"/>
        </w:rPr>
      </w:pPr>
      <w:r>
        <w:t>"A Study on the Economic Impact of Sentient Widgets," a whitepaper by the Institute for Hypothetical Studies.</w:t>
      </w:r>
      <w:bookmarkStart w:id="0" w:name="_GoBack"/>
      <w:bookmarkEnd w:id="0"/>
    </w:p>
    <w:sectPr w:rsidR="007A4746" w:rsidRPr="007A4746" w:rsidSect="007A474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E5"/>
    <w:rsid w:val="00050225"/>
    <w:rsid w:val="007A4746"/>
    <w:rsid w:val="009D6E16"/>
    <w:rsid w:val="00FD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0E3FD4-E0B7-43DF-B2AC-D5261C4A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129D-07EA-41A4-84A6-ECE6ED4C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1621</Words>
  <Characters>9246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2025-09-09T07:35:00Z</dcterms:created>
  <dcterms:modified xsi:type="dcterms:W3CDTF">2025-09-09T07:48:00Z</dcterms:modified>
</cp:coreProperties>
</file>